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76F2" w14:textId="42B88FBB" w:rsidR="00BC54CE" w:rsidRDefault="00BC54CE" w:rsidP="00453DC0">
      <w:pPr>
        <w:spacing w:after="0" w:line="276" w:lineRule="auto"/>
        <w:ind w:left="-709" w:firstLine="709"/>
        <w:jc w:val="center"/>
        <w:rPr>
          <w:rFonts w:ascii="Times New Roman" w:hAnsi="Times New Roman" w:cs="Times New Roman"/>
          <w:b/>
          <w:bCs/>
        </w:rPr>
      </w:pPr>
    </w:p>
    <w:p w14:paraId="67008741" w14:textId="77777777" w:rsidR="00BC54CE" w:rsidRDefault="00BC54CE" w:rsidP="009A00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61AE6ED" w14:textId="77777777" w:rsidR="00BC54CE" w:rsidRDefault="00BC54CE" w:rsidP="0029299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9B0CD55" w14:textId="7913C288" w:rsidR="003745C8" w:rsidRPr="005A5AD2" w:rsidRDefault="003745C8" w:rsidP="009A00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AD2">
        <w:rPr>
          <w:rFonts w:ascii="Times New Roman" w:hAnsi="Times New Roman" w:cs="Times New Roman"/>
          <w:b/>
          <w:bCs/>
          <w:sz w:val="28"/>
          <w:szCs w:val="28"/>
        </w:rPr>
        <w:t>Grand programme de recherche « Faire collection »</w:t>
      </w:r>
    </w:p>
    <w:p w14:paraId="34692FC1" w14:textId="77777777" w:rsidR="00843E17" w:rsidRPr="005A5AD2" w:rsidRDefault="00843E17" w:rsidP="009A00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140BA" w14:textId="6D463FAC" w:rsidR="003745C8" w:rsidRPr="005A5AD2" w:rsidRDefault="003745C8" w:rsidP="009A00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AD2">
        <w:rPr>
          <w:rFonts w:ascii="Times New Roman" w:hAnsi="Times New Roman" w:cs="Times New Roman"/>
          <w:b/>
          <w:bCs/>
          <w:sz w:val="28"/>
          <w:szCs w:val="28"/>
        </w:rPr>
        <w:t>Appel à projets</w:t>
      </w:r>
      <w:r w:rsidR="00843E17" w:rsidRPr="005A5AD2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1DC7D1ED" w14:textId="77777777" w:rsidR="001A48C3" w:rsidRPr="005A5AD2" w:rsidRDefault="001A48C3" w:rsidP="009A00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5E9F8" w14:textId="012BB656" w:rsidR="001A48C3" w:rsidRPr="005A5AD2" w:rsidRDefault="001A48C3" w:rsidP="009A00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AD2">
        <w:rPr>
          <w:rFonts w:ascii="Times New Roman" w:hAnsi="Times New Roman" w:cs="Times New Roman"/>
          <w:b/>
          <w:bCs/>
          <w:sz w:val="28"/>
          <w:szCs w:val="28"/>
        </w:rPr>
        <w:t xml:space="preserve">Date limite de dépôt : </w:t>
      </w:r>
      <w:r w:rsidR="00364F95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5A5AD2">
        <w:rPr>
          <w:rFonts w:ascii="Times New Roman" w:hAnsi="Times New Roman" w:cs="Times New Roman"/>
          <w:b/>
          <w:bCs/>
          <w:sz w:val="28"/>
          <w:szCs w:val="28"/>
        </w:rPr>
        <w:t xml:space="preserve"> avril 2026</w:t>
      </w:r>
    </w:p>
    <w:p w14:paraId="22C1A622" w14:textId="77777777" w:rsidR="003745C8" w:rsidRPr="00D54DB0" w:rsidRDefault="003745C8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791C53A4" w14:textId="77777777" w:rsidR="00557492" w:rsidRPr="00D54DB0" w:rsidRDefault="00557492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745DC8F9" w14:textId="05419DA9" w:rsidR="003745C8" w:rsidRPr="00A8244D" w:rsidRDefault="003745C8" w:rsidP="009A001A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8244D">
        <w:rPr>
          <w:rFonts w:ascii="Times New Roman" w:hAnsi="Times New Roman" w:cs="Times New Roman"/>
          <w:b/>
          <w:bCs/>
        </w:rPr>
        <w:t>Objet de l’appel</w:t>
      </w:r>
    </w:p>
    <w:p w14:paraId="74BAA078" w14:textId="77777777" w:rsid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CAC838" w14:textId="5F3F3DDF" w:rsidR="00557492" w:rsidRPr="00D54DB0" w:rsidRDefault="003745C8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 xml:space="preserve">Cet appel a vocation à financer des opérations </w:t>
      </w:r>
      <w:r w:rsidR="00557492" w:rsidRPr="00D54DB0">
        <w:rPr>
          <w:rFonts w:ascii="Times New Roman" w:hAnsi="Times New Roman" w:cs="Times New Roman"/>
        </w:rPr>
        <w:t>collectives</w:t>
      </w:r>
      <w:r w:rsidRPr="00D54DB0">
        <w:rPr>
          <w:rFonts w:ascii="Times New Roman" w:hAnsi="Times New Roman" w:cs="Times New Roman"/>
        </w:rPr>
        <w:t xml:space="preserve"> et limitées dans le temps</w:t>
      </w:r>
      <w:r w:rsidR="00557492" w:rsidRPr="00D54DB0">
        <w:rPr>
          <w:rFonts w:ascii="Times New Roman" w:hAnsi="Times New Roman" w:cs="Times New Roman"/>
        </w:rPr>
        <w:t xml:space="preserve"> (12</w:t>
      </w:r>
      <w:r w:rsidR="00E44421" w:rsidRPr="00D54DB0">
        <w:rPr>
          <w:rFonts w:ascii="Times New Roman" w:hAnsi="Times New Roman" w:cs="Times New Roman"/>
        </w:rPr>
        <w:t> </w:t>
      </w:r>
      <w:r w:rsidR="00557492" w:rsidRPr="00D54DB0">
        <w:rPr>
          <w:rFonts w:ascii="Times New Roman" w:hAnsi="Times New Roman" w:cs="Times New Roman"/>
        </w:rPr>
        <w:t xml:space="preserve">mois), </w:t>
      </w:r>
      <w:r w:rsidRPr="00D54DB0">
        <w:rPr>
          <w:rFonts w:ascii="Times New Roman" w:hAnsi="Times New Roman" w:cs="Times New Roman"/>
        </w:rPr>
        <w:t>qui entrent dans le périmètre scientifique du GPR « Faire collection</w:t>
      </w:r>
      <w:r w:rsidR="00557492" w:rsidRPr="00D54DB0">
        <w:rPr>
          <w:rFonts w:ascii="Times New Roman" w:hAnsi="Times New Roman" w:cs="Times New Roman"/>
        </w:rPr>
        <w:t>. L’ordre matériel de l’enseignement et de la recherche</w:t>
      </w:r>
      <w:r w:rsidR="009A001A">
        <w:rPr>
          <w:rFonts w:ascii="Times New Roman" w:hAnsi="Times New Roman" w:cs="Times New Roman"/>
        </w:rPr>
        <w:t xml:space="preserve"> à PSL</w:t>
      </w:r>
      <w:r w:rsidRPr="00D54DB0">
        <w:rPr>
          <w:rFonts w:ascii="Times New Roman" w:hAnsi="Times New Roman" w:cs="Times New Roman"/>
        </w:rPr>
        <w:t xml:space="preserve"> ». </w:t>
      </w:r>
    </w:p>
    <w:p w14:paraId="25C8BD38" w14:textId="77777777" w:rsidR="00557492" w:rsidRPr="00D54DB0" w:rsidRDefault="00557492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568EB035" w14:textId="76FB67C4" w:rsidR="00557492" w:rsidRPr="00A8244D" w:rsidRDefault="00557492" w:rsidP="009A001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A8244D">
        <w:rPr>
          <w:rFonts w:ascii="Times New Roman" w:hAnsi="Times New Roman" w:cs="Times New Roman"/>
          <w:i/>
          <w:iCs/>
        </w:rPr>
        <w:t>Rappel des objectifs scientifiques du GPR</w:t>
      </w:r>
    </w:p>
    <w:p w14:paraId="5BC0E504" w14:textId="77777777" w:rsid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B69ECA" w14:textId="36AB113B" w:rsidR="00557492" w:rsidRPr="00D54DB0" w:rsidRDefault="00557492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>Le GPR « Faire collection » s’intéresse à l’histoire des collections dans une perspective transdisciplinaire, diachronique et réflexive. Il organise sa réflexion en deux axes.</w:t>
      </w:r>
    </w:p>
    <w:p w14:paraId="162EE7DB" w14:textId="77777777" w:rsidR="00557492" w:rsidRPr="00D54DB0" w:rsidRDefault="00557492" w:rsidP="009A001A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59D61614" w14:textId="263D3BE1" w:rsidR="00557492" w:rsidRPr="00D54DB0" w:rsidRDefault="00557492" w:rsidP="009A001A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A8244D">
        <w:rPr>
          <w:rFonts w:ascii="Times New Roman" w:eastAsiaTheme="minorEastAsia" w:hAnsi="Times New Roman" w:cs="Times New Roman"/>
          <w:b/>
          <w:bCs/>
        </w:rPr>
        <w:t>L’axe 1</w:t>
      </w:r>
      <w:r w:rsidRPr="00D54DB0">
        <w:rPr>
          <w:rFonts w:ascii="Times New Roman" w:eastAsiaTheme="minorEastAsia" w:hAnsi="Times New Roman" w:cs="Times New Roman"/>
        </w:rPr>
        <w:t xml:space="preserve"> considère </w:t>
      </w:r>
      <w:r w:rsidRPr="00A8244D">
        <w:rPr>
          <w:rFonts w:ascii="Times New Roman" w:eastAsiaTheme="minorEastAsia" w:hAnsi="Times New Roman" w:cs="Times New Roman"/>
          <w:b/>
          <w:bCs/>
        </w:rPr>
        <w:t>l’histoire des collections</w:t>
      </w:r>
      <w:r w:rsidRPr="00D54DB0">
        <w:rPr>
          <w:rFonts w:ascii="Times New Roman" w:eastAsiaTheme="minorEastAsia" w:hAnsi="Times New Roman" w:cs="Times New Roman"/>
        </w:rPr>
        <w:t xml:space="preserve"> – passées, présentes ou futures – et les opérations cognitives et matérielles qui en sont la matrice : sélectionner, rassembler, classer, décrire mais aussi disperser, détruire et oublier.</w:t>
      </w:r>
    </w:p>
    <w:p w14:paraId="16820507" w14:textId="32A4036A" w:rsidR="00557492" w:rsidRPr="00D54DB0" w:rsidRDefault="00557492" w:rsidP="009A001A">
      <w:pPr>
        <w:spacing w:after="0" w:line="276" w:lineRule="auto"/>
        <w:ind w:left="708"/>
        <w:jc w:val="both"/>
        <w:rPr>
          <w:rFonts w:ascii="Times New Roman" w:eastAsiaTheme="minorEastAsia" w:hAnsi="Times New Roman" w:cs="Times New Roman"/>
        </w:rPr>
      </w:pPr>
      <w:r w:rsidRPr="00D54DB0">
        <w:rPr>
          <w:rFonts w:ascii="Times New Roman" w:eastAsiaTheme="minorEastAsia" w:hAnsi="Times New Roman" w:cs="Times New Roman"/>
          <w:b/>
          <w:bCs/>
        </w:rPr>
        <w:t>1.1. La collection, une histoire fragile</w:t>
      </w:r>
      <w:r w:rsidRPr="00D54DB0">
        <w:rPr>
          <w:rFonts w:ascii="Times New Roman" w:eastAsiaTheme="minorEastAsia" w:hAnsi="Times New Roman" w:cs="Times New Roman"/>
        </w:rPr>
        <w:t xml:space="preserve"> étudie dans la longue durée, à partir d’études de cas, les phénomènes d’institutionnalisation, mais aussi de destruction ou de </w:t>
      </w:r>
      <w:proofErr w:type="spellStart"/>
      <w:r w:rsidRPr="00D54DB0">
        <w:rPr>
          <w:rFonts w:ascii="Times New Roman" w:eastAsiaTheme="minorEastAsia" w:hAnsi="Times New Roman" w:cs="Times New Roman"/>
        </w:rPr>
        <w:t>resémantisation</w:t>
      </w:r>
      <w:proofErr w:type="spellEnd"/>
      <w:r w:rsidRPr="00D54DB0">
        <w:rPr>
          <w:rFonts w:ascii="Times New Roman" w:eastAsiaTheme="minorEastAsia" w:hAnsi="Times New Roman" w:cs="Times New Roman"/>
        </w:rPr>
        <w:t xml:space="preserve"> des objets collectionnés.</w:t>
      </w:r>
    </w:p>
    <w:p w14:paraId="4C780B71" w14:textId="07857745" w:rsidR="00557492" w:rsidRPr="00D54DB0" w:rsidRDefault="00557492" w:rsidP="009A001A">
      <w:pPr>
        <w:spacing w:after="0" w:line="276" w:lineRule="auto"/>
        <w:ind w:left="708"/>
        <w:jc w:val="both"/>
        <w:rPr>
          <w:rFonts w:ascii="Times New Roman" w:eastAsiaTheme="minorEastAsia" w:hAnsi="Times New Roman" w:cs="Times New Roman"/>
        </w:rPr>
      </w:pPr>
      <w:r w:rsidRPr="00D54DB0">
        <w:rPr>
          <w:rFonts w:ascii="Times New Roman" w:eastAsiaTheme="minorEastAsia" w:hAnsi="Times New Roman" w:cs="Times New Roman"/>
          <w:b/>
          <w:bCs/>
        </w:rPr>
        <w:t>1.2. Collectionner la science aujourd’hui</w:t>
      </w:r>
      <w:r w:rsidRPr="00D54DB0">
        <w:rPr>
          <w:rFonts w:ascii="Times New Roman" w:eastAsiaTheme="minorEastAsia" w:hAnsi="Times New Roman" w:cs="Times New Roman"/>
        </w:rPr>
        <w:t xml:space="preserve"> interroge nos pratiques actuelles de collectionnement, dans leur dimension intellectuelle, matérielle et politique, mais aussi leurs routines et leurs impensés. </w:t>
      </w:r>
    </w:p>
    <w:p w14:paraId="2C15D62B" w14:textId="77777777" w:rsidR="00557492" w:rsidRPr="00D54DB0" w:rsidRDefault="00557492" w:rsidP="009A001A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362FD655" w14:textId="19C16A40" w:rsidR="00557492" w:rsidRPr="00D54DB0" w:rsidRDefault="00557492" w:rsidP="009A001A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A8244D">
        <w:rPr>
          <w:rFonts w:ascii="Times New Roman" w:eastAsiaTheme="minorEastAsia" w:hAnsi="Times New Roman" w:cs="Times New Roman"/>
          <w:b/>
          <w:bCs/>
        </w:rPr>
        <w:t>L’axe 2</w:t>
      </w:r>
      <w:r w:rsidRPr="00D54DB0">
        <w:rPr>
          <w:rFonts w:ascii="Times New Roman" w:eastAsiaTheme="minorEastAsia" w:hAnsi="Times New Roman" w:cs="Times New Roman"/>
        </w:rPr>
        <w:t xml:space="preserve"> s’intéresse à </w:t>
      </w:r>
      <w:r w:rsidRPr="00A8244D">
        <w:rPr>
          <w:rFonts w:ascii="Times New Roman" w:eastAsiaTheme="minorEastAsia" w:hAnsi="Times New Roman" w:cs="Times New Roman"/>
          <w:b/>
          <w:bCs/>
        </w:rPr>
        <w:t>ce que les collections font aux communautés scientifiques</w:t>
      </w:r>
      <w:r w:rsidRPr="00D54DB0">
        <w:rPr>
          <w:rFonts w:ascii="Times New Roman" w:eastAsiaTheme="minorEastAsia" w:hAnsi="Times New Roman" w:cs="Times New Roman"/>
        </w:rPr>
        <w:t>.</w:t>
      </w:r>
    </w:p>
    <w:p w14:paraId="418DBBF2" w14:textId="37B5028E" w:rsidR="00557492" w:rsidRPr="00D54DB0" w:rsidRDefault="00557492" w:rsidP="009A001A">
      <w:pPr>
        <w:spacing w:after="0" w:line="276" w:lineRule="auto"/>
        <w:ind w:left="708"/>
        <w:jc w:val="both"/>
        <w:rPr>
          <w:rFonts w:ascii="Times New Roman" w:eastAsiaTheme="minorEastAsia" w:hAnsi="Times New Roman" w:cs="Times New Roman"/>
        </w:rPr>
      </w:pPr>
      <w:r w:rsidRPr="00D54DB0">
        <w:rPr>
          <w:rFonts w:ascii="Times New Roman" w:eastAsiaTheme="minorEastAsia" w:hAnsi="Times New Roman" w:cs="Times New Roman"/>
          <w:b/>
          <w:bCs/>
        </w:rPr>
        <w:t>2.1. Faire communauté par les collections, d’hier à aujourd’hui</w:t>
      </w:r>
      <w:r w:rsidRPr="00D54DB0">
        <w:rPr>
          <w:rFonts w:ascii="Times New Roman" w:eastAsiaTheme="minorEastAsia" w:hAnsi="Times New Roman" w:cs="Times New Roman"/>
        </w:rPr>
        <w:t xml:space="preserve"> interroge ce que les collections existantes et celles à constituer peuvent apporter à la construction de nouvelles communautés issues de la réunion d’établissements plus anciens.</w:t>
      </w:r>
    </w:p>
    <w:p w14:paraId="246AA257" w14:textId="08F075CB" w:rsidR="00557492" w:rsidRDefault="00557492" w:rsidP="009A001A">
      <w:pPr>
        <w:spacing w:after="0" w:line="276" w:lineRule="auto"/>
        <w:ind w:left="708"/>
        <w:jc w:val="both"/>
        <w:rPr>
          <w:rFonts w:ascii="Times New Roman" w:eastAsiaTheme="minorEastAsia" w:hAnsi="Times New Roman" w:cs="Times New Roman"/>
        </w:rPr>
      </w:pPr>
      <w:r w:rsidRPr="00D54DB0">
        <w:rPr>
          <w:rFonts w:ascii="Times New Roman" w:eastAsiaTheme="minorEastAsia" w:hAnsi="Times New Roman" w:cs="Times New Roman"/>
          <w:b/>
          <w:bCs/>
        </w:rPr>
        <w:t>2.2. Enseigner par la collection, collectionner l’enseignement</w:t>
      </w:r>
      <w:r w:rsidRPr="00D54DB0">
        <w:rPr>
          <w:rFonts w:ascii="Times New Roman" w:eastAsiaTheme="minorEastAsia" w:hAnsi="Times New Roman" w:cs="Times New Roman"/>
        </w:rPr>
        <w:t xml:space="preserve"> vise à décrire et à comprendre la place des collections dans les activités d’enseignement passées et présentes.</w:t>
      </w:r>
    </w:p>
    <w:p w14:paraId="503DEE7A" w14:textId="77777777" w:rsidR="00BC54CE" w:rsidRDefault="00BC54CE" w:rsidP="009A001A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</w:rPr>
      </w:pPr>
    </w:p>
    <w:p w14:paraId="23064291" w14:textId="4130CEB6" w:rsidR="009A001A" w:rsidRDefault="009A001A" w:rsidP="009A001A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</w:rPr>
      </w:pPr>
      <w:r>
        <w:rPr>
          <w:rFonts w:ascii="Times New Roman" w:eastAsiaTheme="minorEastAsia" w:hAnsi="Times New Roman" w:cs="Times New Roman"/>
          <w:i/>
          <w:iCs/>
        </w:rPr>
        <w:t>Animation de la communauté « Faire collection »</w:t>
      </w:r>
    </w:p>
    <w:p w14:paraId="5861972E" w14:textId="77777777" w:rsidR="009A001A" w:rsidRDefault="009A001A" w:rsidP="009A001A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</w:rPr>
      </w:pPr>
    </w:p>
    <w:p w14:paraId="37C2650F" w14:textId="1E6983FD" w:rsidR="009A001A" w:rsidRDefault="009A001A" w:rsidP="009A001A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Le financement de ces projets, avec ou sans contrat </w:t>
      </w:r>
      <w:proofErr w:type="spellStart"/>
      <w:r>
        <w:rPr>
          <w:rFonts w:ascii="Times New Roman" w:eastAsiaTheme="minorEastAsia" w:hAnsi="Times New Roman" w:cs="Times New Roman"/>
        </w:rPr>
        <w:t>post-doctoral</w:t>
      </w:r>
      <w:proofErr w:type="spellEnd"/>
      <w:r>
        <w:rPr>
          <w:rFonts w:ascii="Times New Roman" w:eastAsiaTheme="minorEastAsia" w:hAnsi="Times New Roman" w:cs="Times New Roman"/>
        </w:rPr>
        <w:t xml:space="preserve">, a aussi pour objectif de cimenter et d’animer la communauté « Faire collection ». À ce titre, il est demandé aux porteurs et porteuses de tenir compte de cette obligation et d’en mettre les implications </w:t>
      </w:r>
      <w:r w:rsidR="00BC54CE">
        <w:rPr>
          <w:rFonts w:ascii="Times New Roman" w:eastAsiaTheme="minorEastAsia" w:hAnsi="Times New Roman" w:cs="Times New Roman"/>
        </w:rPr>
        <w:t xml:space="preserve">en évidence </w:t>
      </w:r>
      <w:r>
        <w:rPr>
          <w:rFonts w:ascii="Times New Roman" w:eastAsiaTheme="minorEastAsia" w:hAnsi="Times New Roman" w:cs="Times New Roman"/>
        </w:rPr>
        <w:t>dans leur candidature (Le projet peut-il avoir un rôle moteur pour d’autres initiatives ? Peut-il déboucher sur des projets plus larges ? Peut-il servir de modèle pour d’autres initiatives et même genre ? etc.)</w:t>
      </w:r>
    </w:p>
    <w:p w14:paraId="2B851DB6" w14:textId="77777777" w:rsidR="009A001A" w:rsidRDefault="009A001A" w:rsidP="009A001A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4956606F" w14:textId="5263A723" w:rsidR="009A001A" w:rsidRDefault="009A001A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est rappelé en particulier que les </w:t>
      </w:r>
      <w:proofErr w:type="spellStart"/>
      <w:r>
        <w:rPr>
          <w:rFonts w:ascii="Times New Roman" w:hAnsi="Times New Roman" w:cs="Times New Roman"/>
        </w:rPr>
        <w:t>post-doctorants</w:t>
      </w:r>
      <w:proofErr w:type="spellEnd"/>
      <w:r>
        <w:rPr>
          <w:rFonts w:ascii="Times New Roman" w:hAnsi="Times New Roman" w:cs="Times New Roman"/>
        </w:rPr>
        <w:t xml:space="preserve"> recrutés dans ce cadre doivent consacrer une partie de leur temps de travail à l’animation de la communauté du GPR Faire collection :</w:t>
      </w:r>
    </w:p>
    <w:p w14:paraId="180844C0" w14:textId="71946027" w:rsidR="009A001A" w:rsidRDefault="009A001A" w:rsidP="009A001A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A001A">
        <w:rPr>
          <w:rFonts w:ascii="Times New Roman" w:hAnsi="Times New Roman" w:cs="Times New Roman"/>
        </w:rPr>
        <w:t>Veille scientifique sur les projets relatifs aux collections dans le périmètre PS</w:t>
      </w:r>
    </w:p>
    <w:p w14:paraId="3B63C75B" w14:textId="13719C8F" w:rsidR="009A001A" w:rsidRDefault="009A001A" w:rsidP="009A001A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Alimentation</w:t>
      </w:r>
      <w:r w:rsidRPr="009A001A">
        <w:rPr>
          <w:rFonts w:ascii="Times New Roman" w:hAnsi="Times New Roman" w:cs="Times New Roman"/>
        </w:rPr>
        <w:t xml:space="preserve"> du site internet</w:t>
      </w:r>
    </w:p>
    <w:p w14:paraId="033A971D" w14:textId="1312DA61" w:rsidR="009A001A" w:rsidRDefault="009A001A" w:rsidP="009A001A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A001A">
        <w:rPr>
          <w:rFonts w:ascii="Times New Roman" w:hAnsi="Times New Roman" w:cs="Times New Roman"/>
        </w:rPr>
        <w:t>Préparation du cycle de séminaires</w:t>
      </w:r>
    </w:p>
    <w:p w14:paraId="11BE4B62" w14:textId="0CA83225" w:rsidR="009A001A" w:rsidRPr="009A001A" w:rsidRDefault="009A001A" w:rsidP="009A001A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A001A">
        <w:rPr>
          <w:rFonts w:ascii="Times New Roman" w:hAnsi="Times New Roman" w:cs="Times New Roman"/>
        </w:rPr>
        <w:t>Participation aux opérations de valorisation commandées par PSL</w:t>
      </w:r>
    </w:p>
    <w:p w14:paraId="5419C747" w14:textId="2AC14AB8" w:rsidR="00557492" w:rsidRPr="009A001A" w:rsidRDefault="009A001A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C85BFE" w14:textId="6D573791" w:rsidR="00557492" w:rsidRPr="00A8244D" w:rsidRDefault="00557492" w:rsidP="009A001A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</w:rPr>
      </w:pPr>
      <w:r w:rsidRPr="00A8244D">
        <w:rPr>
          <w:rFonts w:ascii="Times New Roman" w:eastAsiaTheme="minorEastAsia" w:hAnsi="Times New Roman" w:cs="Times New Roman"/>
          <w:b/>
          <w:bCs/>
        </w:rPr>
        <w:t>Dépenses éligibles</w:t>
      </w:r>
    </w:p>
    <w:p w14:paraId="20DC48F0" w14:textId="77777777" w:rsid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CA574C" w14:textId="2761D719" w:rsid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dépenses éligibles sont les suivantes :</w:t>
      </w:r>
    </w:p>
    <w:p w14:paraId="6F23722B" w14:textId="4369A5A3" w:rsidR="00A8244D" w:rsidRDefault="00557492" w:rsidP="009A001A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8244D">
        <w:rPr>
          <w:rFonts w:ascii="Times New Roman" w:hAnsi="Times New Roman" w:cs="Times New Roman"/>
        </w:rPr>
        <w:t>Organisation d’événements scientifiques</w:t>
      </w:r>
      <w:r w:rsidR="00E44421" w:rsidRPr="00A8244D">
        <w:rPr>
          <w:rFonts w:ascii="Times New Roman" w:hAnsi="Times New Roman" w:cs="Times New Roman"/>
        </w:rPr>
        <w:t xml:space="preserve"> (sauf </w:t>
      </w:r>
      <w:r w:rsidR="00BC54CE">
        <w:rPr>
          <w:rFonts w:ascii="Times New Roman" w:hAnsi="Times New Roman" w:cs="Times New Roman"/>
        </w:rPr>
        <w:t>frais de bouche qui sont exclus).</w:t>
      </w:r>
      <w:r w:rsidRPr="00A8244D">
        <w:rPr>
          <w:rFonts w:ascii="Times New Roman" w:hAnsi="Times New Roman" w:cs="Times New Roman"/>
        </w:rPr>
        <w:t> </w:t>
      </w:r>
    </w:p>
    <w:p w14:paraId="3763CF3F" w14:textId="4E0CD5E7" w:rsidR="00557492" w:rsidRDefault="00A8244D" w:rsidP="009A001A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557492" w:rsidRPr="00A8244D">
        <w:rPr>
          <w:rFonts w:ascii="Times New Roman" w:hAnsi="Times New Roman" w:cs="Times New Roman"/>
        </w:rPr>
        <w:t>issions sortantes ou entrantes.</w:t>
      </w:r>
    </w:p>
    <w:p w14:paraId="3572CB9F" w14:textId="47043F8C" w:rsidR="00A8244D" w:rsidRDefault="00A8244D" w:rsidP="009A001A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Petites prestations externes (numérisation)</w:t>
      </w:r>
      <w:r w:rsidR="00BC54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6E15A6A" w14:textId="0906B5D4" w:rsidR="00A8244D" w:rsidRDefault="00A8244D" w:rsidP="009A001A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Aides à la publication</w:t>
      </w:r>
      <w:r w:rsidR="00BC54CE">
        <w:rPr>
          <w:rFonts w:ascii="Times New Roman" w:hAnsi="Times New Roman" w:cs="Times New Roman"/>
        </w:rPr>
        <w:t>.</w:t>
      </w:r>
    </w:p>
    <w:p w14:paraId="6A12D8C6" w14:textId="617A42EE" w:rsidR="00A8244D" w:rsidRPr="00A8244D" w:rsidRDefault="00A8244D" w:rsidP="009A001A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Contrat </w:t>
      </w:r>
      <w:proofErr w:type="spellStart"/>
      <w:r>
        <w:rPr>
          <w:rFonts w:ascii="Times New Roman" w:hAnsi="Times New Roman" w:cs="Times New Roman"/>
        </w:rPr>
        <w:t>post-doctoral</w:t>
      </w:r>
      <w:proofErr w:type="spellEnd"/>
      <w:r>
        <w:rPr>
          <w:rFonts w:ascii="Times New Roman" w:hAnsi="Times New Roman" w:cs="Times New Roman"/>
        </w:rPr>
        <w:t xml:space="preserve"> (12 mois)</w:t>
      </w:r>
      <w:r w:rsidR="00BC54CE">
        <w:rPr>
          <w:rFonts w:ascii="Times New Roman" w:hAnsi="Times New Roman" w:cs="Times New Roman"/>
        </w:rPr>
        <w:t>.</w:t>
      </w:r>
    </w:p>
    <w:p w14:paraId="2572CB29" w14:textId="5BC7095E" w:rsid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A2E2E4" w14:textId="10D41866" w:rsidR="009A001A" w:rsidRPr="009A001A" w:rsidRDefault="009A001A" w:rsidP="009A001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Précisions importantes</w:t>
      </w:r>
    </w:p>
    <w:p w14:paraId="019874E1" w14:textId="77777777" w:rsidR="009A001A" w:rsidRDefault="009A001A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5F113E" w14:textId="35E732E6" w:rsidR="00557492" w:rsidRDefault="00557492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 xml:space="preserve">Les petites prestations externes (numérisation) et </w:t>
      </w:r>
      <w:r w:rsidR="00A8244D">
        <w:rPr>
          <w:rFonts w:ascii="Times New Roman" w:hAnsi="Times New Roman" w:cs="Times New Roman"/>
        </w:rPr>
        <w:t xml:space="preserve">les </w:t>
      </w:r>
      <w:r w:rsidRPr="00D54DB0">
        <w:rPr>
          <w:rFonts w:ascii="Times New Roman" w:hAnsi="Times New Roman" w:cs="Times New Roman"/>
        </w:rPr>
        <w:t>aides à la publication sont éligibles mais elles ne doivent pas représenter plus de 50 % du montant financé.</w:t>
      </w:r>
    </w:p>
    <w:p w14:paraId="4682D246" w14:textId="23C991FC" w:rsidR="009A001A" w:rsidRPr="00D54DB0" w:rsidRDefault="009A001A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repas ne sont pas éligibles.</w:t>
      </w:r>
    </w:p>
    <w:p w14:paraId="7F3464B7" w14:textId="77777777" w:rsidR="009A001A" w:rsidRDefault="009A001A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A81409" w14:textId="0BD38CC3" w:rsidR="007F1694" w:rsidRDefault="007F1694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 xml:space="preserve">L’enveloppe </w:t>
      </w:r>
      <w:r w:rsidRPr="00A8244D">
        <w:rPr>
          <w:rFonts w:ascii="Times New Roman" w:hAnsi="Times New Roman" w:cs="Times New Roman"/>
          <w:u w:val="single"/>
        </w:rPr>
        <w:t>totale</w:t>
      </w:r>
      <w:r w:rsidRPr="00D54DB0">
        <w:rPr>
          <w:rFonts w:ascii="Times New Roman" w:hAnsi="Times New Roman" w:cs="Times New Roman"/>
        </w:rPr>
        <w:t xml:space="preserve"> allouée </w:t>
      </w:r>
      <w:r w:rsidR="00BC54CE">
        <w:rPr>
          <w:rFonts w:ascii="Times New Roman" w:hAnsi="Times New Roman" w:cs="Times New Roman"/>
        </w:rPr>
        <w:t xml:space="preserve">par le GPR FC </w:t>
      </w:r>
      <w:r w:rsidRPr="00D54DB0">
        <w:rPr>
          <w:rFonts w:ascii="Times New Roman" w:hAnsi="Times New Roman" w:cs="Times New Roman"/>
        </w:rPr>
        <w:t xml:space="preserve">aux projets </w:t>
      </w:r>
      <w:r w:rsidR="00A8244D">
        <w:rPr>
          <w:rFonts w:ascii="Times New Roman" w:hAnsi="Times New Roman" w:cs="Times New Roman"/>
          <w:u w:val="single"/>
        </w:rPr>
        <w:t xml:space="preserve">sans contrat </w:t>
      </w:r>
      <w:proofErr w:type="spellStart"/>
      <w:r w:rsidR="00A8244D">
        <w:rPr>
          <w:rFonts w:ascii="Times New Roman" w:hAnsi="Times New Roman" w:cs="Times New Roman"/>
          <w:u w:val="single"/>
        </w:rPr>
        <w:t>post-doctoral</w:t>
      </w:r>
      <w:proofErr w:type="spellEnd"/>
      <w:r w:rsidRPr="00D54DB0">
        <w:rPr>
          <w:rFonts w:ascii="Times New Roman" w:hAnsi="Times New Roman" w:cs="Times New Roman"/>
        </w:rPr>
        <w:t xml:space="preserve"> est de 40 000 euros par année universitaire.</w:t>
      </w:r>
    </w:p>
    <w:p w14:paraId="166BF8BA" w14:textId="7D02D48D" w:rsidR="009A001A" w:rsidRPr="009A001A" w:rsidRDefault="00A8244D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Le nombre de projets </w:t>
      </w:r>
      <w:r>
        <w:rPr>
          <w:rFonts w:ascii="Times New Roman" w:hAnsi="Times New Roman" w:cs="Times New Roman"/>
          <w:u w:val="single"/>
        </w:rPr>
        <w:t xml:space="preserve">incluant un contrat </w:t>
      </w:r>
      <w:proofErr w:type="spellStart"/>
      <w:r>
        <w:rPr>
          <w:rFonts w:ascii="Times New Roman" w:hAnsi="Times New Roman" w:cs="Times New Roman"/>
          <w:u w:val="single"/>
        </w:rPr>
        <w:t>post-</w:t>
      </w:r>
      <w:r w:rsidRPr="00A8244D">
        <w:rPr>
          <w:rFonts w:ascii="Times New Roman" w:hAnsi="Times New Roman" w:cs="Times New Roman"/>
          <w:u w:val="single"/>
        </w:rPr>
        <w:t>doctoral</w:t>
      </w:r>
      <w:proofErr w:type="spellEnd"/>
      <w:r w:rsidRPr="00A8244D">
        <w:rPr>
          <w:rFonts w:ascii="Times New Roman" w:hAnsi="Times New Roman" w:cs="Times New Roman"/>
        </w:rPr>
        <w:t xml:space="preserve"> qui seront retenus pour</w:t>
      </w:r>
      <w:r>
        <w:rPr>
          <w:rFonts w:ascii="Times New Roman" w:hAnsi="Times New Roman" w:cs="Times New Roman"/>
        </w:rPr>
        <w:t xml:space="preserve"> l’année 2026-2027 </w:t>
      </w:r>
      <w:r w:rsidR="00BC54CE">
        <w:rPr>
          <w:rFonts w:ascii="Times New Roman" w:hAnsi="Times New Roman" w:cs="Times New Roman"/>
        </w:rPr>
        <w:t xml:space="preserve">par le GPR FC </w:t>
      </w:r>
      <w:r>
        <w:rPr>
          <w:rFonts w:ascii="Times New Roman" w:hAnsi="Times New Roman" w:cs="Times New Roman"/>
        </w:rPr>
        <w:t xml:space="preserve">est de </w:t>
      </w:r>
      <w:r>
        <w:rPr>
          <w:rFonts w:ascii="Times New Roman" w:hAnsi="Times New Roman" w:cs="Times New Roman"/>
          <w:u w:val="single"/>
        </w:rPr>
        <w:t>deux.</w:t>
      </w:r>
    </w:p>
    <w:p w14:paraId="34A55C7F" w14:textId="77777777" w:rsidR="007F1694" w:rsidRPr="00D54DB0" w:rsidRDefault="007F1694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ABF8F5" w14:textId="16FD79F8" w:rsidR="007F1694" w:rsidRPr="00A8244D" w:rsidRDefault="007F1694" w:rsidP="009A001A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8244D">
        <w:rPr>
          <w:rFonts w:ascii="Times New Roman" w:hAnsi="Times New Roman" w:cs="Times New Roman"/>
          <w:b/>
          <w:bCs/>
        </w:rPr>
        <w:t xml:space="preserve">Procédure </w:t>
      </w:r>
      <w:r w:rsidR="00E44421" w:rsidRPr="00A8244D">
        <w:rPr>
          <w:rFonts w:ascii="Times New Roman" w:hAnsi="Times New Roman" w:cs="Times New Roman"/>
          <w:b/>
          <w:bCs/>
        </w:rPr>
        <w:t xml:space="preserve">et critères </w:t>
      </w:r>
      <w:r w:rsidRPr="00A8244D">
        <w:rPr>
          <w:rFonts w:ascii="Times New Roman" w:hAnsi="Times New Roman" w:cs="Times New Roman"/>
          <w:b/>
          <w:bCs/>
        </w:rPr>
        <w:t>de sélection</w:t>
      </w:r>
    </w:p>
    <w:p w14:paraId="72307996" w14:textId="77777777" w:rsid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EBBCE3F" w14:textId="757059C3" w:rsidR="00E44421" w:rsidRPr="00D54DB0" w:rsidRDefault="007F1694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 xml:space="preserve">Les projets financés </w:t>
      </w:r>
      <w:r w:rsidR="00E44421" w:rsidRPr="00D54DB0">
        <w:rPr>
          <w:rFonts w:ascii="Times New Roman" w:hAnsi="Times New Roman" w:cs="Times New Roman"/>
        </w:rPr>
        <w:t>sont</w:t>
      </w:r>
      <w:r w:rsidRPr="00D54DB0">
        <w:rPr>
          <w:rFonts w:ascii="Times New Roman" w:hAnsi="Times New Roman" w:cs="Times New Roman"/>
        </w:rPr>
        <w:t xml:space="preserve"> </w:t>
      </w:r>
      <w:r w:rsidR="00E44421" w:rsidRPr="00D54DB0">
        <w:rPr>
          <w:rFonts w:ascii="Times New Roman" w:hAnsi="Times New Roman" w:cs="Times New Roman"/>
        </w:rPr>
        <w:t>sélectionnés</w:t>
      </w:r>
      <w:r w:rsidRPr="00D54DB0">
        <w:rPr>
          <w:rFonts w:ascii="Times New Roman" w:hAnsi="Times New Roman" w:cs="Times New Roman"/>
        </w:rPr>
        <w:t xml:space="preserve"> par le conseil scientifique du GPR</w:t>
      </w:r>
      <w:r w:rsidR="00E44421" w:rsidRPr="00D54DB0">
        <w:rPr>
          <w:rFonts w:ascii="Times New Roman" w:hAnsi="Times New Roman" w:cs="Times New Roman"/>
        </w:rPr>
        <w:t>.</w:t>
      </w:r>
    </w:p>
    <w:p w14:paraId="426A5903" w14:textId="09203ECC" w:rsidR="00E44421" w:rsidRPr="00D54DB0" w:rsidRDefault="00E44421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>L’argumentaire doit très clairement mettre en évidence l’originalité de la recherche, son inscription dans les axes</w:t>
      </w:r>
      <w:r w:rsidR="007F1694" w:rsidRPr="00D54DB0">
        <w:rPr>
          <w:rFonts w:ascii="Times New Roman" w:hAnsi="Times New Roman" w:cs="Times New Roman"/>
        </w:rPr>
        <w:t xml:space="preserve"> scientifique</w:t>
      </w:r>
      <w:r w:rsidRPr="00D54DB0">
        <w:rPr>
          <w:rFonts w:ascii="Times New Roman" w:hAnsi="Times New Roman" w:cs="Times New Roman"/>
        </w:rPr>
        <w:t>s</w:t>
      </w:r>
      <w:r w:rsidR="007F1694" w:rsidRPr="00D54DB0">
        <w:rPr>
          <w:rFonts w:ascii="Times New Roman" w:hAnsi="Times New Roman" w:cs="Times New Roman"/>
        </w:rPr>
        <w:t xml:space="preserve"> du </w:t>
      </w:r>
      <w:r w:rsidRPr="00D54DB0">
        <w:rPr>
          <w:rFonts w:ascii="Times New Roman" w:hAnsi="Times New Roman" w:cs="Times New Roman"/>
        </w:rPr>
        <w:t>GPR et sa capacité à « faire communauté »</w:t>
      </w:r>
      <w:r w:rsidR="007F1694" w:rsidRPr="00D54DB0">
        <w:rPr>
          <w:rFonts w:ascii="Times New Roman" w:hAnsi="Times New Roman" w:cs="Times New Roman"/>
        </w:rPr>
        <w:t xml:space="preserve">. </w:t>
      </w:r>
    </w:p>
    <w:p w14:paraId="3874ADDB" w14:textId="39017F46" w:rsidR="007F1694" w:rsidRPr="00D54DB0" w:rsidRDefault="007F1694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 xml:space="preserve">Les projets qui rassemblent plusieurs équipes, établissements ou structures documentaires membres du GPR, seront valorisés. </w:t>
      </w:r>
    </w:p>
    <w:p w14:paraId="7562DD15" w14:textId="1849F671" w:rsidR="00E44421" w:rsidRPr="00D54DB0" w:rsidRDefault="00E44421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 xml:space="preserve">Le projet soumis peut prendre la suite d’un autre projet déjà financé, mais les porteurs doivent mettre en évidence son intérêt </w:t>
      </w:r>
      <w:r w:rsidR="005C3645" w:rsidRPr="00D54DB0">
        <w:rPr>
          <w:rFonts w:ascii="Times New Roman" w:hAnsi="Times New Roman" w:cs="Times New Roman"/>
        </w:rPr>
        <w:t xml:space="preserve">et ses développements </w:t>
      </w:r>
      <w:r w:rsidRPr="00D54DB0">
        <w:rPr>
          <w:rFonts w:ascii="Times New Roman" w:hAnsi="Times New Roman" w:cs="Times New Roman"/>
        </w:rPr>
        <w:t>spécifique</w:t>
      </w:r>
      <w:r w:rsidR="005C3645" w:rsidRPr="00D54DB0">
        <w:rPr>
          <w:rFonts w:ascii="Times New Roman" w:hAnsi="Times New Roman" w:cs="Times New Roman"/>
        </w:rPr>
        <w:t>s</w:t>
      </w:r>
      <w:r w:rsidRPr="00D54DB0">
        <w:rPr>
          <w:rFonts w:ascii="Times New Roman" w:hAnsi="Times New Roman" w:cs="Times New Roman"/>
        </w:rPr>
        <w:t xml:space="preserve"> dans le cadre du GPR. </w:t>
      </w:r>
    </w:p>
    <w:p w14:paraId="6EF0466F" w14:textId="77777777" w:rsidR="00A8244D" w:rsidRDefault="00E44421" w:rsidP="00DB0178">
      <w:p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lastRenderedPageBreak/>
        <w:t xml:space="preserve">Les outils techniques et les livrables doivent être précisément décrits. </w:t>
      </w:r>
    </w:p>
    <w:p w14:paraId="0EBF70D6" w14:textId="77777777" w:rsidR="00A8244D" w:rsidRDefault="005C3645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 xml:space="preserve">Il est important de prévoir des livrables spécifiques au GPR (alimentation du site internet, prise en charge d’une séance du séminaire, participation à des manifestations scientifiques au titre du GPR). </w:t>
      </w:r>
    </w:p>
    <w:p w14:paraId="0F79C281" w14:textId="6C28AEA1" w:rsidR="009A001A" w:rsidRDefault="00E44421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>On rappelle que le GPR s’inscrit dans une démarche de Science ouverte.</w:t>
      </w:r>
      <w:r w:rsidR="005C3645" w:rsidRPr="00D54DB0">
        <w:rPr>
          <w:rFonts w:ascii="Times New Roman" w:hAnsi="Times New Roman" w:cs="Times New Roman"/>
        </w:rPr>
        <w:t xml:space="preserve"> </w:t>
      </w:r>
    </w:p>
    <w:p w14:paraId="029194D2" w14:textId="77777777" w:rsidR="009A001A" w:rsidRPr="00D54DB0" w:rsidRDefault="009A001A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899B1D" w14:textId="6D4412B0" w:rsidR="003745C8" w:rsidRPr="00A8244D" w:rsidRDefault="003745C8" w:rsidP="009A001A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8244D">
        <w:rPr>
          <w:rFonts w:ascii="Times New Roman" w:hAnsi="Times New Roman" w:cs="Times New Roman"/>
          <w:b/>
          <w:bCs/>
        </w:rPr>
        <w:t xml:space="preserve">Soumission d’un projet </w:t>
      </w:r>
    </w:p>
    <w:p w14:paraId="60A5C55A" w14:textId="77777777" w:rsidR="007F1694" w:rsidRPr="00D54DB0" w:rsidRDefault="007F1694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155A606C" w14:textId="272C6B4B" w:rsid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projet</w:t>
      </w:r>
      <w:r w:rsidR="00093FC0">
        <w:rPr>
          <w:rFonts w:ascii="Times New Roman" w:hAnsi="Times New Roman" w:cs="Times New Roman"/>
        </w:rPr>
        <w:t>,</w:t>
      </w:r>
      <w:r w:rsidR="00364F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à </w:t>
      </w:r>
      <w:r w:rsidR="00093FC0">
        <w:rPr>
          <w:rFonts w:ascii="Times New Roman" w:hAnsi="Times New Roman" w:cs="Times New Roman"/>
        </w:rPr>
        <w:t xml:space="preserve">rédiger sur ce formulaire, comprend obligatoirement les rubriques </w:t>
      </w:r>
      <w:r w:rsidR="00364F95">
        <w:rPr>
          <w:rFonts w:ascii="Times New Roman" w:hAnsi="Times New Roman" w:cs="Times New Roman"/>
        </w:rPr>
        <w:t xml:space="preserve">suivantes </w:t>
      </w:r>
      <w:r>
        <w:rPr>
          <w:rFonts w:ascii="Times New Roman" w:hAnsi="Times New Roman" w:cs="Times New Roman"/>
        </w:rPr>
        <w:t>:</w:t>
      </w:r>
    </w:p>
    <w:p w14:paraId="50E2F492" w14:textId="77777777" w:rsidR="00A8244D" w:rsidRP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3D6663" w14:textId="430E442E" w:rsidR="003745C8" w:rsidRPr="00D54DB0" w:rsidRDefault="003745C8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D54DB0">
        <w:rPr>
          <w:rFonts w:ascii="Times New Roman" w:hAnsi="Times New Roman" w:cs="Times New Roman"/>
          <w:u w:val="single"/>
        </w:rPr>
        <w:t>Argumentaire scientifique</w:t>
      </w:r>
    </w:p>
    <w:p w14:paraId="6BDC1181" w14:textId="77777777" w:rsidR="005C3645" w:rsidRPr="00D54DB0" w:rsidRDefault="003745C8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 xml:space="preserve">1 page maximum. </w:t>
      </w:r>
    </w:p>
    <w:p w14:paraId="5529FA0D" w14:textId="3DDF6DBC" w:rsid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Décrire</w:t>
      </w:r>
      <w:r w:rsidR="003745C8" w:rsidRPr="00D54DB0">
        <w:rPr>
          <w:rFonts w:ascii="Times New Roman" w:hAnsi="Times New Roman" w:cs="Times New Roman"/>
        </w:rPr>
        <w:t xml:space="preserve"> l’objet de la recherche, les enjeux et la démarche scientifique, les sources</w:t>
      </w:r>
      <w:r>
        <w:rPr>
          <w:rFonts w:ascii="Times New Roman" w:hAnsi="Times New Roman" w:cs="Times New Roman"/>
        </w:rPr>
        <w:t xml:space="preserve"> mobilisées. </w:t>
      </w:r>
    </w:p>
    <w:p w14:paraId="50226939" w14:textId="3F81A9ED" w:rsidR="00A8244D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Préciser s</w:t>
      </w:r>
      <w:r w:rsidR="003745C8" w:rsidRPr="00D54DB0">
        <w:rPr>
          <w:rFonts w:ascii="Times New Roman" w:hAnsi="Times New Roman" w:cs="Times New Roman"/>
        </w:rPr>
        <w:t>’il s’agit d’un projet nouveau ou inscrit dans le prolongement d’une recherche en cours</w:t>
      </w:r>
      <w:r>
        <w:rPr>
          <w:rFonts w:ascii="Times New Roman" w:hAnsi="Times New Roman" w:cs="Times New Roman"/>
        </w:rPr>
        <w:t>.</w:t>
      </w:r>
    </w:p>
    <w:p w14:paraId="7F5EF67C" w14:textId="261B235E" w:rsidR="003745C8" w:rsidRPr="00D54DB0" w:rsidRDefault="00A8244D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Indiquer </w:t>
      </w:r>
      <w:r w:rsidR="007F1694" w:rsidRPr="00D54DB0">
        <w:rPr>
          <w:rFonts w:ascii="Times New Roman" w:hAnsi="Times New Roman" w:cs="Times New Roman"/>
        </w:rPr>
        <w:t xml:space="preserve">le(s) axe(s) </w:t>
      </w:r>
      <w:r>
        <w:rPr>
          <w:rFonts w:ascii="Times New Roman" w:hAnsi="Times New Roman" w:cs="Times New Roman"/>
        </w:rPr>
        <w:t xml:space="preserve">et sous-axes </w:t>
      </w:r>
      <w:r w:rsidR="007F1694" w:rsidRPr="00D54DB0">
        <w:rPr>
          <w:rFonts w:ascii="Times New Roman" w:hAnsi="Times New Roman" w:cs="Times New Roman"/>
        </w:rPr>
        <w:t>du GPR dans le(s)quel(s) il s’inscrit prioritairement</w:t>
      </w:r>
      <w:r>
        <w:rPr>
          <w:rFonts w:ascii="Times New Roman" w:hAnsi="Times New Roman" w:cs="Times New Roman"/>
        </w:rPr>
        <w:t xml:space="preserve"> et développer leur apport à ces problématiques, ainsi que les renouvellements et nouvelles perspectives qu’ils ouvrent</w:t>
      </w:r>
      <w:r w:rsidR="007F1694" w:rsidRPr="00D54DB0">
        <w:rPr>
          <w:rFonts w:ascii="Times New Roman" w:hAnsi="Times New Roman" w:cs="Times New Roman"/>
        </w:rPr>
        <w:t>.</w:t>
      </w:r>
    </w:p>
    <w:p w14:paraId="605FD7E9" w14:textId="77777777" w:rsidR="007F1694" w:rsidRPr="00D54DB0" w:rsidRDefault="007F1694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20D3A8C5" w14:textId="24049F4B" w:rsidR="003745C8" w:rsidRPr="00D54DB0" w:rsidRDefault="003745C8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D54DB0">
        <w:rPr>
          <w:rFonts w:ascii="Times New Roman" w:hAnsi="Times New Roman" w:cs="Times New Roman"/>
          <w:u w:val="single"/>
        </w:rPr>
        <w:t>Équipe du projet</w:t>
      </w:r>
    </w:p>
    <w:p w14:paraId="2B3C9FD0" w14:textId="373C5641" w:rsidR="003745C8" w:rsidRDefault="00C834F5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Indiquer</w:t>
      </w:r>
      <w:r w:rsidR="005C3645" w:rsidRPr="00D54DB0">
        <w:rPr>
          <w:rFonts w:ascii="Times New Roman" w:hAnsi="Times New Roman" w:cs="Times New Roman"/>
        </w:rPr>
        <w:t xml:space="preserve"> la composition de l’équipe, en mentionnant</w:t>
      </w:r>
      <w:r w:rsidR="003745C8" w:rsidRPr="00D54DB0">
        <w:rPr>
          <w:rFonts w:ascii="Times New Roman" w:hAnsi="Times New Roman" w:cs="Times New Roman"/>
        </w:rPr>
        <w:t xml:space="preserve"> le statut, le rattachement institutionnel et la </w:t>
      </w:r>
      <w:r>
        <w:rPr>
          <w:rFonts w:ascii="Times New Roman" w:hAnsi="Times New Roman" w:cs="Times New Roman"/>
        </w:rPr>
        <w:t>contribution</w:t>
      </w:r>
      <w:r w:rsidR="003745C8" w:rsidRPr="00D54DB0">
        <w:rPr>
          <w:rFonts w:ascii="Times New Roman" w:hAnsi="Times New Roman" w:cs="Times New Roman"/>
        </w:rPr>
        <w:t xml:space="preserve"> </w:t>
      </w:r>
      <w:r w:rsidR="007F1694" w:rsidRPr="00D54DB0">
        <w:rPr>
          <w:rFonts w:ascii="Times New Roman" w:hAnsi="Times New Roman" w:cs="Times New Roman"/>
        </w:rPr>
        <w:t xml:space="preserve">concrète et effective </w:t>
      </w:r>
      <w:r w:rsidR="003745C8" w:rsidRPr="00D54DB0">
        <w:rPr>
          <w:rFonts w:ascii="Times New Roman" w:hAnsi="Times New Roman" w:cs="Times New Roman"/>
        </w:rPr>
        <w:t>de chaque chercheuse ou chercheur impliqué dans le projet.</w:t>
      </w:r>
      <w:r w:rsidR="009A001A">
        <w:rPr>
          <w:rFonts w:ascii="Times New Roman" w:hAnsi="Times New Roman" w:cs="Times New Roman"/>
        </w:rPr>
        <w:t xml:space="preserve"> Bien distinguer les membres internes / externes </w:t>
      </w:r>
      <w:r w:rsidR="00336F5C">
        <w:rPr>
          <w:rFonts w:ascii="Times New Roman" w:hAnsi="Times New Roman" w:cs="Times New Roman"/>
        </w:rPr>
        <w:t xml:space="preserve">à la communauté « Faire collection » (voir la liste des équipes et partenaires du projet : </w:t>
      </w:r>
      <w:hyperlink r:id="rId7" w:history="1">
        <w:r w:rsidR="00336F5C" w:rsidRPr="0042675C">
          <w:rPr>
            <w:rStyle w:val="Lienhypertexte"/>
            <w:rFonts w:ascii="Times New Roman" w:hAnsi="Times New Roman" w:cs="Times New Roman"/>
          </w:rPr>
          <w:t>https://www.faire-collection.psl.eu/fr/membres</w:t>
        </w:r>
      </w:hyperlink>
      <w:r w:rsidR="00336F5C">
        <w:rPr>
          <w:rFonts w:ascii="Times New Roman" w:hAnsi="Times New Roman" w:cs="Times New Roman"/>
        </w:rPr>
        <w:t xml:space="preserve">) </w:t>
      </w:r>
    </w:p>
    <w:p w14:paraId="734E6231" w14:textId="77777777" w:rsidR="009A001A" w:rsidRDefault="009A001A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B293B4" w14:textId="2DD89E6B" w:rsidR="00C834F5" w:rsidRPr="00D54DB0" w:rsidRDefault="00C834F5" w:rsidP="009A001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Dans le cas d’un projet impliquant un recrutement </w:t>
      </w:r>
      <w:proofErr w:type="spellStart"/>
      <w:r>
        <w:rPr>
          <w:rFonts w:ascii="Times New Roman" w:hAnsi="Times New Roman" w:cs="Times New Roman"/>
        </w:rPr>
        <w:t>post-doctoral</w:t>
      </w:r>
      <w:proofErr w:type="spellEnd"/>
      <w:r>
        <w:rPr>
          <w:rFonts w:ascii="Times New Roman" w:hAnsi="Times New Roman" w:cs="Times New Roman"/>
        </w:rPr>
        <w:t> : indiquer le profil du candidat envisagé pour le poste (formation, compétences particulières). Décrire très précisément les tâches qui lui seront confiées et la manière dont il sera encadré.</w:t>
      </w:r>
    </w:p>
    <w:p w14:paraId="6B890751" w14:textId="77777777" w:rsidR="007F1694" w:rsidRPr="00D54DB0" w:rsidRDefault="007F1694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470247FA" w14:textId="77777777" w:rsidR="00C834F5" w:rsidRPr="00D54DB0" w:rsidRDefault="00C834F5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D54DB0">
        <w:rPr>
          <w:rFonts w:ascii="Times New Roman" w:hAnsi="Times New Roman" w:cs="Times New Roman"/>
          <w:u w:val="single"/>
        </w:rPr>
        <w:t>Calendrier de réalisation (sur 12 mois) et livrables</w:t>
      </w:r>
    </w:p>
    <w:p w14:paraId="5E28810E" w14:textId="43147D57" w:rsidR="00C834F5" w:rsidRPr="00D54DB0" w:rsidRDefault="00C834F5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54DB0">
        <w:rPr>
          <w:rFonts w:ascii="Times New Roman" w:hAnsi="Times New Roman" w:cs="Times New Roman"/>
        </w:rPr>
        <w:t>écrire les livrables (manifestations scientifiques, publications)</w:t>
      </w:r>
      <w:r>
        <w:rPr>
          <w:rFonts w:ascii="Times New Roman" w:hAnsi="Times New Roman" w:cs="Times New Roman"/>
        </w:rPr>
        <w:t>.</w:t>
      </w:r>
    </w:p>
    <w:p w14:paraId="52EBD77E" w14:textId="77777777" w:rsidR="00C834F5" w:rsidRDefault="00C834F5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>Préciser les éléments sur lesquels pourra se fonder l’évaluation du projet</w:t>
      </w:r>
      <w:r>
        <w:rPr>
          <w:rFonts w:ascii="Times New Roman" w:hAnsi="Times New Roman" w:cs="Times New Roman"/>
        </w:rPr>
        <w:t>.</w:t>
      </w:r>
    </w:p>
    <w:p w14:paraId="091AC041" w14:textId="77777777" w:rsidR="00C834F5" w:rsidRDefault="00C834F5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0420A657" w14:textId="6A4235E7" w:rsidR="003745C8" w:rsidRPr="00D54DB0" w:rsidRDefault="003745C8" w:rsidP="009A001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D54DB0">
        <w:rPr>
          <w:rFonts w:ascii="Times New Roman" w:hAnsi="Times New Roman" w:cs="Times New Roman"/>
          <w:u w:val="single"/>
        </w:rPr>
        <w:t>Financement</w:t>
      </w:r>
    </w:p>
    <w:p w14:paraId="245F922B" w14:textId="7E1914CB" w:rsidR="005C3645" w:rsidRPr="00D54DB0" w:rsidRDefault="003745C8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>Préciser la nature des dépenses (organisation d’événements scientifiques, missions sortantes ou entrantes, prestations externes, aide à la publication)</w:t>
      </w:r>
      <w:r w:rsidR="005C3645" w:rsidRPr="00D54DB0">
        <w:rPr>
          <w:rFonts w:ascii="Times New Roman" w:hAnsi="Times New Roman" w:cs="Times New Roman"/>
        </w:rPr>
        <w:t>.</w:t>
      </w:r>
      <w:r w:rsidR="00C834F5">
        <w:rPr>
          <w:rFonts w:ascii="Times New Roman" w:hAnsi="Times New Roman" w:cs="Times New Roman"/>
        </w:rPr>
        <w:t xml:space="preserve"> </w:t>
      </w:r>
    </w:p>
    <w:p w14:paraId="1C6652DD" w14:textId="583C16E0" w:rsidR="003745C8" w:rsidRDefault="005C3645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4DB0">
        <w:rPr>
          <w:rFonts w:ascii="Times New Roman" w:hAnsi="Times New Roman" w:cs="Times New Roman"/>
        </w:rPr>
        <w:t>P</w:t>
      </w:r>
      <w:r w:rsidR="007F1694" w:rsidRPr="00D54DB0">
        <w:rPr>
          <w:rFonts w:ascii="Times New Roman" w:hAnsi="Times New Roman" w:cs="Times New Roman"/>
        </w:rPr>
        <w:t xml:space="preserve">réciser </w:t>
      </w:r>
      <w:r w:rsidR="003745C8" w:rsidRPr="00D54DB0">
        <w:rPr>
          <w:rFonts w:ascii="Times New Roman" w:hAnsi="Times New Roman" w:cs="Times New Roman"/>
        </w:rPr>
        <w:t>les co-financements éventuels (impératifs dans le cas d’un partenariat avec une équipe de recherche ou un établissement extérieur au périmètre du GPR).</w:t>
      </w:r>
    </w:p>
    <w:p w14:paraId="41600F53" w14:textId="77777777" w:rsidR="005A5AD2" w:rsidRDefault="005A5AD2" w:rsidP="009A00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55C95D" w14:textId="17917795" w:rsidR="005A5AD2" w:rsidRPr="00D54DB0" w:rsidRDefault="005A5AD2" w:rsidP="009A0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document de soumission doit être envoyé avant le </w:t>
      </w:r>
      <w:r w:rsidR="00364F9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avril 2026 aux deux porteuses, Emmanuelle Chapron (</w:t>
      </w:r>
      <w:hyperlink r:id="rId8" w:history="1">
        <w:r w:rsidRPr="00972B58">
          <w:rPr>
            <w:rStyle w:val="Lienhypertexte"/>
            <w:rFonts w:ascii="Times New Roman" w:hAnsi="Times New Roman" w:cs="Times New Roman"/>
          </w:rPr>
          <w:t>emmanuelle.chapron@univ-amu.fr</w:t>
        </w:r>
      </w:hyperlink>
      <w:r>
        <w:rPr>
          <w:rFonts w:ascii="Times New Roman" w:hAnsi="Times New Roman" w:cs="Times New Roman"/>
        </w:rPr>
        <w:t>) et Muriel Le Roux (</w:t>
      </w:r>
      <w:hyperlink r:id="rId9" w:history="1">
        <w:r w:rsidRPr="00972B58">
          <w:rPr>
            <w:rStyle w:val="Lienhypertexte"/>
            <w:rFonts w:ascii="Times New Roman" w:hAnsi="Times New Roman" w:cs="Times New Roman"/>
          </w:rPr>
          <w:t>muriel.le.roux@ens.psl.eu</w:t>
        </w:r>
      </w:hyperlink>
      <w:r>
        <w:rPr>
          <w:rFonts w:ascii="Times New Roman" w:hAnsi="Times New Roman" w:cs="Times New Roman"/>
        </w:rPr>
        <w:t xml:space="preserve">) et à la secrétaire du GPR, Manon </w:t>
      </w:r>
      <w:proofErr w:type="spellStart"/>
      <w:r>
        <w:rPr>
          <w:rFonts w:ascii="Times New Roman" w:hAnsi="Times New Roman" w:cs="Times New Roman"/>
        </w:rPr>
        <w:t>Labourie</w:t>
      </w:r>
      <w:proofErr w:type="spellEnd"/>
      <w:r>
        <w:rPr>
          <w:rFonts w:ascii="Times New Roman" w:hAnsi="Times New Roman" w:cs="Times New Roman"/>
        </w:rPr>
        <w:t xml:space="preserve"> (</w:t>
      </w:r>
      <w:hyperlink r:id="rId10" w:history="1">
        <w:r w:rsidRPr="00972B58">
          <w:rPr>
            <w:rStyle w:val="Lienhypertexte"/>
            <w:rFonts w:ascii="Times New Roman" w:hAnsi="Times New Roman" w:cs="Times New Roman"/>
          </w:rPr>
          <w:t>manon.labourie@ens.psl.eu</w:t>
        </w:r>
      </w:hyperlink>
      <w:r>
        <w:rPr>
          <w:rFonts w:ascii="Times New Roman" w:hAnsi="Times New Roman" w:cs="Times New Roman"/>
        </w:rPr>
        <w:t xml:space="preserve">) </w:t>
      </w:r>
    </w:p>
    <w:sectPr w:rsidR="005A5AD2" w:rsidRPr="00D54DB0" w:rsidSect="00453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839B" w14:textId="77777777" w:rsidR="00EA2CE6" w:rsidRDefault="00EA2CE6" w:rsidP="0029299D">
      <w:pPr>
        <w:spacing w:after="0" w:line="240" w:lineRule="auto"/>
      </w:pPr>
      <w:r>
        <w:separator/>
      </w:r>
    </w:p>
  </w:endnote>
  <w:endnote w:type="continuationSeparator" w:id="0">
    <w:p w14:paraId="4EBAEC1A" w14:textId="77777777" w:rsidR="00EA2CE6" w:rsidRDefault="00EA2CE6" w:rsidP="0029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0B5B" w14:textId="77777777" w:rsidR="00DB0178" w:rsidRDefault="00DB01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B0EA" w14:textId="77777777" w:rsidR="00DB0178" w:rsidRDefault="00DB01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ACA9" w14:textId="77777777" w:rsidR="00DB0178" w:rsidRDefault="00DB01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DA2E" w14:textId="77777777" w:rsidR="00EA2CE6" w:rsidRDefault="00EA2CE6" w:rsidP="0029299D">
      <w:pPr>
        <w:spacing w:after="0" w:line="240" w:lineRule="auto"/>
      </w:pPr>
      <w:r>
        <w:separator/>
      </w:r>
    </w:p>
  </w:footnote>
  <w:footnote w:type="continuationSeparator" w:id="0">
    <w:p w14:paraId="3D6D41E0" w14:textId="77777777" w:rsidR="00EA2CE6" w:rsidRDefault="00EA2CE6" w:rsidP="00292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D9AC" w14:textId="77777777" w:rsidR="00DB0178" w:rsidRDefault="00DB01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69D1" w14:textId="39A26D46" w:rsidR="0029299D" w:rsidRDefault="0029299D" w:rsidP="00DB0178">
    <w:pPr>
      <w:pStyle w:val="En-tte"/>
      <w:tabs>
        <w:tab w:val="clear" w:pos="9072"/>
        <w:tab w:val="right" w:pos="9026"/>
      </w:tabs>
      <w:ind w:left="-1134"/>
    </w:pPr>
    <w:r>
      <w:rPr>
        <w:noProof/>
      </w:rPr>
      <w:drawing>
        <wp:inline distT="0" distB="0" distL="0" distR="0" wp14:anchorId="55A3BD25" wp14:editId="0D17C155">
          <wp:extent cx="2314575" cy="485252"/>
          <wp:effectExtent l="0" t="0" r="0" b="0"/>
          <wp:docPr id="106" name="Imag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799" cy="491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3DC0">
      <w:rPr>
        <w:noProof/>
      </w:rPr>
      <w:drawing>
        <wp:inline distT="0" distB="0" distL="0" distR="0" wp14:anchorId="2F3DA6D7" wp14:editId="30232927">
          <wp:extent cx="2019300" cy="523875"/>
          <wp:effectExtent l="0" t="0" r="0" b="9525"/>
          <wp:docPr id="107" name="Imag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3DC0">
      <w:t xml:space="preserve">    </w:t>
    </w:r>
    <w:r w:rsidR="00DB0178">
      <w:rPr>
        <w:noProof/>
      </w:rPr>
      <w:drawing>
        <wp:inline distT="0" distB="0" distL="0" distR="0" wp14:anchorId="12BD2207" wp14:editId="7D4C503D">
          <wp:extent cx="1857442" cy="704654"/>
          <wp:effectExtent l="0" t="0" r="0" b="635"/>
          <wp:docPr id="108" name="Imag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436" cy="71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F3DFA" w14:textId="77777777" w:rsidR="00453DC0" w:rsidRPr="00453DC0" w:rsidRDefault="00453DC0" w:rsidP="00453DC0">
    <w:pPr>
      <w:pStyle w:val="En-tte"/>
      <w:tabs>
        <w:tab w:val="clear" w:pos="9072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B0EA" w14:textId="77777777" w:rsidR="00DB0178" w:rsidRDefault="00DB01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F8E"/>
    <w:multiLevelType w:val="multilevel"/>
    <w:tmpl w:val="E710DF6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BFA2065"/>
    <w:multiLevelType w:val="hybridMultilevel"/>
    <w:tmpl w:val="8C588A2C"/>
    <w:lvl w:ilvl="0" w:tplc="B4162C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551F"/>
    <w:multiLevelType w:val="hybridMultilevel"/>
    <w:tmpl w:val="550406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3004B"/>
    <w:multiLevelType w:val="multilevel"/>
    <w:tmpl w:val="E710DF6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48688709">
    <w:abstractNumId w:val="0"/>
  </w:num>
  <w:num w:numId="2" w16cid:durableId="377314549">
    <w:abstractNumId w:val="3"/>
  </w:num>
  <w:num w:numId="3" w16cid:durableId="1222447916">
    <w:abstractNumId w:val="2"/>
  </w:num>
  <w:num w:numId="4" w16cid:durableId="115372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C8"/>
    <w:rsid w:val="00093FC0"/>
    <w:rsid w:val="000F6EBD"/>
    <w:rsid w:val="001A48C3"/>
    <w:rsid w:val="0029299D"/>
    <w:rsid w:val="00333888"/>
    <w:rsid w:val="00336F5C"/>
    <w:rsid w:val="00364F95"/>
    <w:rsid w:val="003745C8"/>
    <w:rsid w:val="003D0A17"/>
    <w:rsid w:val="00453DC0"/>
    <w:rsid w:val="00557492"/>
    <w:rsid w:val="00564C4A"/>
    <w:rsid w:val="005A5AD2"/>
    <w:rsid w:val="005C3645"/>
    <w:rsid w:val="006D5567"/>
    <w:rsid w:val="007C28D8"/>
    <w:rsid w:val="007F1694"/>
    <w:rsid w:val="00843E17"/>
    <w:rsid w:val="009A001A"/>
    <w:rsid w:val="009C4DA0"/>
    <w:rsid w:val="00A8244D"/>
    <w:rsid w:val="00B60E18"/>
    <w:rsid w:val="00BC54CE"/>
    <w:rsid w:val="00BD13A8"/>
    <w:rsid w:val="00C42943"/>
    <w:rsid w:val="00C834F5"/>
    <w:rsid w:val="00CF292B"/>
    <w:rsid w:val="00D43C87"/>
    <w:rsid w:val="00D54DB0"/>
    <w:rsid w:val="00DB0178"/>
    <w:rsid w:val="00E158CF"/>
    <w:rsid w:val="00E44421"/>
    <w:rsid w:val="00EA2CE6"/>
    <w:rsid w:val="00E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DBA53"/>
  <w15:chartTrackingRefBased/>
  <w15:docId w15:val="{7A29873D-CE44-5049-A9B6-C8ADDCE0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4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4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4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4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4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4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4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4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4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4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4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45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45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45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45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45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45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4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4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4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45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45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45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4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45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45C8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E444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44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44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44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442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36F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6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9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299D"/>
  </w:style>
  <w:style w:type="paragraph" w:styleId="Pieddepage">
    <w:name w:val="footer"/>
    <w:basedOn w:val="Normal"/>
    <w:link w:val="PieddepageCar"/>
    <w:uiPriority w:val="99"/>
    <w:unhideWhenUsed/>
    <w:rsid w:val="0029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chapron@univ-amu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ire-collection.psl.eu/fr/membr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non.labourie@ens.psl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riel.le.roux@ens.psl.e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1014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CHAPRON LE BIANIC Emmanuelle</dc:creator>
  <cp:keywords/>
  <dc:description/>
  <cp:lastModifiedBy>Manon LABOURIE</cp:lastModifiedBy>
  <cp:revision>4</cp:revision>
  <dcterms:created xsi:type="dcterms:W3CDTF">2026-02-16T13:31:00Z</dcterms:created>
  <dcterms:modified xsi:type="dcterms:W3CDTF">2026-04-01T14:48:00Z</dcterms:modified>
</cp:coreProperties>
</file>